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65" w:rsidRPr="00701D4D" w:rsidRDefault="00701D4D">
      <w:pPr>
        <w:tabs>
          <w:tab w:val="left" w:pos="8971"/>
        </w:tabs>
        <w:spacing w:before="36"/>
        <w:ind w:left="118"/>
        <w:rPr>
          <w:rFonts w:ascii="Meiryo UI" w:eastAsia="Meiryo UI" w:hAnsi="Meiryo UI"/>
          <w:sz w:val="24"/>
        </w:rPr>
      </w:pPr>
      <w:r w:rsidRPr="00701D4D">
        <w:rPr>
          <w:rFonts w:ascii="Meiryo UI" w:eastAsia="Meiryo UI" w:hAnsi="Meiryo UI"/>
        </w:rPr>
        <w:pict>
          <v:line id="_x0000_s1029" style="position:absolute;left:0;text-align:left;z-index:-15754240;mso-position-horizontal-relative:page;mso-position-vertical-relative:page" from="0,44.65pt" to="595.3pt,44.65pt" strokeweight=".49989mm">
            <w10:wrap anchorx="page" anchory="page"/>
          </v:line>
        </w:pict>
      </w:r>
      <w:r w:rsidRPr="00701D4D">
        <w:rPr>
          <w:rFonts w:ascii="Meiryo UI" w:eastAsia="Meiryo UI" w:hAnsi="Meiryo UI"/>
          <w:position w:val="1"/>
        </w:rPr>
        <w:t>Day7.</w:t>
      </w:r>
      <w:r w:rsidRPr="00701D4D">
        <w:rPr>
          <w:rFonts w:ascii="Meiryo UI" w:eastAsia="Meiryo UI" w:hAnsi="Meiryo UI"/>
          <w:spacing w:val="15"/>
          <w:position w:val="1"/>
        </w:rPr>
        <w:t xml:space="preserve"> </w:t>
      </w:r>
      <w:r w:rsidRPr="00701D4D">
        <w:rPr>
          <w:rFonts w:ascii="Meiryo UI" w:eastAsia="Meiryo UI" w:hAnsi="Meiryo UI"/>
          <w:position w:val="1"/>
        </w:rPr>
        <w:t>コンテンツ産業のビジネスモデループワーク</w:t>
      </w:r>
      <w:r w:rsidRPr="00701D4D">
        <w:rPr>
          <w:rFonts w:ascii="Meiryo UI" w:eastAsia="Meiryo UI" w:hAnsi="Meiryo UI"/>
          <w:position w:val="1"/>
        </w:rPr>
        <w:tab/>
      </w:r>
      <w:r w:rsidRPr="00701D4D">
        <w:rPr>
          <w:rFonts w:ascii="Meiryo UI" w:eastAsia="Meiryo UI" w:hAnsi="Meiryo UI" w:hint="eastAsia"/>
          <w:sz w:val="24"/>
        </w:rPr>
        <w:t>＜ワークシート</w:t>
      </w:r>
      <w:r w:rsidRPr="00701D4D">
        <w:rPr>
          <w:rFonts w:ascii="Meiryo UI" w:eastAsia="Meiryo UI" w:hAnsi="Meiryo UI" w:hint="eastAsia"/>
          <w:spacing w:val="-18"/>
          <w:sz w:val="24"/>
        </w:rPr>
        <w:t xml:space="preserve"> </w:t>
      </w:r>
      <w:r w:rsidRPr="00701D4D">
        <w:rPr>
          <w:rFonts w:ascii="Meiryo UI" w:eastAsia="Meiryo UI" w:hAnsi="Meiryo UI" w:hint="eastAsia"/>
          <w:sz w:val="24"/>
        </w:rPr>
        <w:t>7</w:t>
      </w:r>
      <w:r w:rsidRPr="00701D4D">
        <w:rPr>
          <w:rFonts w:ascii="Meiryo UI" w:eastAsia="Meiryo UI" w:hAnsi="Meiryo UI" w:hint="eastAsia"/>
          <w:spacing w:val="-18"/>
          <w:sz w:val="24"/>
        </w:rPr>
        <w:t xml:space="preserve"> </w:t>
      </w:r>
      <w:r w:rsidRPr="00701D4D">
        <w:rPr>
          <w:rFonts w:ascii="Meiryo UI" w:eastAsia="Meiryo UI" w:hAnsi="Meiryo UI" w:hint="eastAsia"/>
          <w:sz w:val="24"/>
        </w:rPr>
        <w:t>＞</w:t>
      </w:r>
    </w:p>
    <w:p w:rsidR="004E5F65" w:rsidRPr="00701D4D" w:rsidRDefault="004E5F65">
      <w:pPr>
        <w:pStyle w:val="a3"/>
        <w:rPr>
          <w:rFonts w:ascii="Meiryo UI" w:eastAsia="Meiryo UI" w:hAnsi="Meiryo UI"/>
          <w:sz w:val="20"/>
        </w:rPr>
      </w:pPr>
    </w:p>
    <w:p w:rsidR="004E5F65" w:rsidRPr="00701D4D" w:rsidRDefault="004E5F65">
      <w:pPr>
        <w:pStyle w:val="a3"/>
        <w:spacing w:before="10"/>
        <w:rPr>
          <w:rFonts w:ascii="Meiryo UI" w:eastAsia="Meiryo UI" w:hAnsi="Meiryo UI"/>
          <w:sz w:val="21"/>
        </w:rPr>
      </w:pPr>
    </w:p>
    <w:p w:rsidR="004E5F65" w:rsidRPr="00701D4D" w:rsidRDefault="00701D4D">
      <w:pPr>
        <w:spacing w:before="49"/>
        <w:ind w:left="770"/>
        <w:rPr>
          <w:rFonts w:ascii="Meiryo UI" w:eastAsia="Meiryo UI" w:hAnsi="Meiryo UI"/>
          <w:sz w:val="28"/>
        </w:rPr>
      </w:pPr>
      <w:r w:rsidRPr="00701D4D">
        <w:rPr>
          <w:rFonts w:ascii="Meiryo UI" w:eastAsia="Meiryo UI" w:hAnsi="Meiryo UI"/>
          <w:sz w:val="28"/>
        </w:rPr>
        <w:t>グループワークシート</w:t>
      </w:r>
    </w:p>
    <w:p w:rsidR="004E5F65" w:rsidRPr="00701D4D" w:rsidRDefault="00701D4D">
      <w:pPr>
        <w:pStyle w:val="a4"/>
        <w:tabs>
          <w:tab w:val="left" w:pos="7616"/>
        </w:tabs>
        <w:spacing w:before="273"/>
        <w:rPr>
          <w:rFonts w:ascii="Meiryo UI" w:eastAsia="Meiryo UI" w:hAnsi="Meiryo UI"/>
        </w:rPr>
      </w:pPr>
      <w:r w:rsidRPr="00701D4D">
        <w:rPr>
          <w:rFonts w:ascii="Meiryo UI" w:eastAsia="Meiryo UI" w:hAnsi="Meiryo UI"/>
          <w:w w:val="105"/>
        </w:rPr>
        <w:t>ビジネスモデル（</w:t>
      </w:r>
      <w:r w:rsidRPr="00701D4D">
        <w:rPr>
          <w:rFonts w:ascii="Meiryo UI" w:eastAsia="Meiryo UI" w:hAnsi="Meiryo UI"/>
          <w:w w:val="105"/>
        </w:rPr>
        <w:tab/>
      </w:r>
      <w:r w:rsidRPr="00701D4D">
        <w:rPr>
          <w:rFonts w:ascii="Meiryo UI" w:eastAsia="Meiryo UI" w:hAnsi="Meiryo UI"/>
        </w:rPr>
        <w:t>）は</w:t>
      </w:r>
    </w:p>
    <w:p w:rsidR="004E5F65" w:rsidRPr="00701D4D" w:rsidRDefault="00701D4D">
      <w:pPr>
        <w:pStyle w:val="a4"/>
        <w:rPr>
          <w:rFonts w:ascii="Meiryo UI" w:eastAsia="Meiryo UI" w:hAnsi="Meiryo UI"/>
        </w:rPr>
      </w:pPr>
      <w:r w:rsidRPr="00701D4D">
        <w:rPr>
          <w:rFonts w:ascii="Meiryo UI" w:eastAsia="Meiryo UI" w:hAnsi="Meiryo UI"/>
        </w:rPr>
        <w:t>どのように「文化を豊か」にすることができるでしょうか？</w:t>
      </w:r>
    </w:p>
    <w:p w:rsidR="004E5F65" w:rsidRPr="00701D4D" w:rsidRDefault="00701D4D">
      <w:pPr>
        <w:pStyle w:val="a3"/>
        <w:spacing w:before="218" w:line="422" w:lineRule="exact"/>
        <w:ind w:left="811"/>
        <w:rPr>
          <w:rFonts w:ascii="Meiryo UI" w:eastAsia="Meiryo UI" w:hAnsi="Meiryo UI"/>
        </w:rPr>
      </w:pPr>
      <w:r w:rsidRPr="00701D4D">
        <w:rPr>
          <w:rFonts w:ascii="Meiryo UI" w:eastAsia="Meiryo UI" w:hAnsi="Meiryo UI"/>
          <w:spacing w:val="-14"/>
        </w:rPr>
        <w:t xml:space="preserve">① </w:t>
      </w:r>
      <w:r w:rsidRPr="00701D4D">
        <w:rPr>
          <w:rFonts w:ascii="Meiryo UI" w:eastAsia="Meiryo UI" w:hAnsi="Meiryo UI"/>
          <w:spacing w:val="-14"/>
        </w:rPr>
        <w:t>このビジネスモデルが「文化の豊かさ」に貢献できると考える理由と、</w:t>
      </w:r>
    </w:p>
    <w:p w:rsidR="004E5F65" w:rsidRPr="00701D4D" w:rsidRDefault="00701D4D">
      <w:pPr>
        <w:pStyle w:val="a3"/>
        <w:spacing w:line="422" w:lineRule="exact"/>
        <w:ind w:left="1147"/>
        <w:rPr>
          <w:rFonts w:ascii="Meiryo UI" w:eastAsia="Meiryo UI" w:hAnsi="Meiryo UI"/>
        </w:rPr>
      </w:pPr>
      <w:r w:rsidRPr="00701D4D">
        <w:rPr>
          <w:rFonts w:ascii="Meiryo UI" w:eastAsia="Meiryo UI" w:hAnsi="Meiryo U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2.35pt;margin-top:27.35pt;width:470.3pt;height:148.85pt;z-index:-15728640;mso-wrap-distance-left:0;mso-wrap-distance-right:0;mso-position-horizontal-relative:page" filled="f" strokeweight=".49989mm">
            <v:textbox inset="0,0,0,0">
              <w:txbxContent>
                <w:p w:rsidR="004E5F65" w:rsidRDefault="00701D4D">
                  <w:pPr>
                    <w:spacing w:before="62" w:line="380" w:lineRule="exact"/>
                    <w:ind w:left="155"/>
                    <w:rPr>
                      <w:rFonts w:ascii="A-OTF 新ゴ Pro L" w:eastAsia="A-OTF 新ゴ Pro L"/>
                    </w:rPr>
                  </w:pPr>
                  <w:r>
                    <w:rPr>
                      <w:rFonts w:ascii="A-OTF 新ゴ Pro L" w:eastAsia="A-OTF 新ゴ Pro L" w:hint="eastAsia"/>
                      <w:color w:val="595757"/>
                      <w:position w:val="1"/>
                      <w:sz w:val="21"/>
                    </w:rPr>
                    <w:t>例）</w:t>
                  </w:r>
                  <w:r>
                    <w:rPr>
                      <w:rFonts w:ascii="A-OTF 新ゴ Pro L" w:eastAsia="A-OTF 新ゴ Pro L" w:hint="eastAsia"/>
                      <w:color w:val="595757"/>
                      <w:spacing w:val="5"/>
                      <w:position w:val="1"/>
                      <w:sz w:val="21"/>
                    </w:rPr>
                    <w:t xml:space="preserve">    </w:t>
                  </w:r>
                  <w:r>
                    <w:rPr>
                      <w:rFonts w:ascii="A-OTF 新ゴ Pro L" w:eastAsia="A-OTF 新ゴ Pro L" w:hint="eastAsia"/>
                      <w:color w:val="595757"/>
                    </w:rPr>
                    <w:t>無料であるため、誰でも作品を鑑賞・視聴することができるため参加性に貢献する。</w:t>
                  </w:r>
                </w:p>
                <w:p w:rsidR="004E5F65" w:rsidRDefault="00701D4D">
                  <w:pPr>
                    <w:spacing w:line="380" w:lineRule="exact"/>
                    <w:ind w:left="496"/>
                    <w:rPr>
                      <w:rFonts w:ascii="A-OTF 新ゴ Pro L" w:eastAsia="A-OTF 新ゴ Pro L"/>
                    </w:rPr>
                  </w:pPr>
                  <w:r>
                    <w:rPr>
                      <w:rFonts w:ascii="A-OTF 新ゴ Pro L" w:eastAsia="A-OTF 新ゴ Pro L" w:hint="eastAsia"/>
                      <w:color w:val="595757"/>
                      <w:w w:val="105"/>
                    </w:rPr>
                    <w:t>（広告モデル）</w:t>
                  </w:r>
                </w:p>
              </w:txbxContent>
            </v:textbox>
            <w10:wrap type="topAndBottom" anchorx="page"/>
          </v:shape>
        </w:pict>
      </w:r>
      <w:r w:rsidRPr="00701D4D">
        <w:rPr>
          <w:rFonts w:ascii="Meiryo UI" w:eastAsia="Meiryo UI" w:hAnsi="Meiryo UI"/>
          <w:spacing w:val="-11"/>
        </w:rPr>
        <w:t>関係する要素</w:t>
      </w:r>
      <w:r w:rsidRPr="00701D4D">
        <w:rPr>
          <w:rFonts w:ascii="Meiryo UI" w:eastAsia="Meiryo UI" w:hAnsi="Meiryo UI"/>
          <w:spacing w:val="-5"/>
        </w:rPr>
        <w:t>（</w:t>
      </w:r>
      <w:r w:rsidRPr="00701D4D">
        <w:rPr>
          <w:rFonts w:ascii="Meiryo UI" w:eastAsia="Meiryo UI" w:hAnsi="Meiryo UI"/>
          <w:spacing w:val="-13"/>
        </w:rPr>
        <w:t>例：多様性、経済性、継承性等</w:t>
      </w:r>
      <w:r w:rsidRPr="00701D4D">
        <w:rPr>
          <w:rFonts w:ascii="Meiryo UI" w:eastAsia="Meiryo UI" w:hAnsi="Meiryo UI"/>
          <w:spacing w:val="-21"/>
        </w:rPr>
        <w:t>）</w:t>
      </w:r>
      <w:r w:rsidRPr="00701D4D">
        <w:rPr>
          <w:rFonts w:ascii="Meiryo UI" w:eastAsia="Meiryo UI" w:hAnsi="Meiryo UI"/>
          <w:spacing w:val="-16"/>
        </w:rPr>
        <w:t>について書きだしてみましょう。</w:t>
      </w:r>
    </w:p>
    <w:p w:rsidR="004E5F65" w:rsidRPr="00701D4D" w:rsidRDefault="004E5F65">
      <w:pPr>
        <w:pStyle w:val="a3"/>
        <w:rPr>
          <w:rFonts w:ascii="Meiryo UI" w:eastAsia="Meiryo UI" w:hAnsi="Meiryo UI"/>
          <w:sz w:val="20"/>
        </w:rPr>
      </w:pPr>
    </w:p>
    <w:p w:rsidR="004E5F65" w:rsidRPr="00701D4D" w:rsidRDefault="00701D4D">
      <w:pPr>
        <w:pStyle w:val="a3"/>
        <w:spacing w:line="208" w:lineRule="auto"/>
        <w:ind w:left="1147" w:right="1109" w:hanging="337"/>
        <w:rPr>
          <w:rFonts w:ascii="Meiryo UI" w:eastAsia="Meiryo UI" w:hAnsi="Meiryo UI"/>
        </w:rPr>
      </w:pPr>
      <w:r w:rsidRPr="00701D4D">
        <w:rPr>
          <w:rFonts w:ascii="Meiryo UI" w:eastAsia="Meiryo UI" w:hAnsi="Meiryo UI"/>
        </w:rPr>
        <w:pict>
          <v:shape id="_x0000_s1027" type="#_x0000_t202" style="position:absolute;left:0;text-align:left;margin-left:62.35pt;margin-top:42.15pt;width:470.3pt;height:148.85pt;z-index:-15728128;mso-wrap-distance-left:0;mso-wrap-distance-right:0;mso-position-horizontal-relative:page" filled="f" strokeweight=".49989mm">
            <v:textbox inset="0,0,0,0">
              <w:txbxContent>
                <w:p w:rsidR="004E5F65" w:rsidRDefault="00701D4D">
                  <w:pPr>
                    <w:spacing w:before="82" w:line="220" w:lineRule="auto"/>
                    <w:ind w:left="212" w:right="318"/>
                    <w:rPr>
                      <w:rFonts w:ascii="A-OTF 新ゴ Pro L" w:eastAsia="A-OTF 新ゴ Pro L"/>
                    </w:rPr>
                  </w:pPr>
                  <w:r>
                    <w:rPr>
                      <w:rFonts w:ascii="A-OTF 新ゴ Pro L" w:eastAsia="A-OTF 新ゴ Pro L" w:hint="eastAsia"/>
                      <w:color w:val="595757"/>
                    </w:rPr>
                    <w:t>例）</w:t>
                  </w:r>
                  <w:r>
                    <w:rPr>
                      <w:rFonts w:ascii="A-OTF 新ゴ Pro L" w:eastAsia="A-OTF 新ゴ Pro L" w:hint="eastAsia"/>
                      <w:color w:val="595757"/>
                    </w:rPr>
                    <w:t>広告主が意図しない表現は、作品に含められないなど、クリエイターの自由な創作</w:t>
                  </w:r>
                  <w:r>
                    <w:rPr>
                      <w:rFonts w:ascii="A-OTF 新ゴ Pro L" w:eastAsia="A-OTF 新ゴ Pro L" w:hint="eastAsia"/>
                      <w:color w:val="595757"/>
                      <w:spacing w:val="1"/>
                    </w:rPr>
                    <w:t xml:space="preserve"> </w:t>
                  </w:r>
                  <w:r>
                    <w:rPr>
                      <w:rFonts w:ascii="A-OTF 新ゴ Pro L" w:eastAsia="A-OTF 新ゴ Pro L" w:hint="eastAsia"/>
                      <w:color w:val="595757"/>
                      <w:spacing w:val="-5"/>
                      <w:w w:val="105"/>
                    </w:rPr>
                    <w:t>活動が妨げられる場合があり、多様性を阻害する懸念がある。</w:t>
                  </w:r>
                  <w:r>
                    <w:rPr>
                      <w:rFonts w:ascii="A-OTF 新ゴ Pro L" w:eastAsia="A-OTF 新ゴ Pro L" w:hint="eastAsia"/>
                      <w:color w:val="595757"/>
                      <w:w w:val="105"/>
                    </w:rPr>
                    <w:t>（広告モデル）</w:t>
                  </w:r>
                </w:p>
              </w:txbxContent>
            </v:textbox>
            <w10:wrap type="topAndBottom" anchorx="page"/>
          </v:shape>
        </w:pict>
      </w:r>
      <w:r w:rsidRPr="00701D4D">
        <w:rPr>
          <w:rFonts w:ascii="Meiryo UI" w:eastAsia="Meiryo UI" w:hAnsi="Meiryo UI"/>
          <w:spacing w:val="-15"/>
        </w:rPr>
        <w:t xml:space="preserve">②     </w:t>
      </w:r>
      <w:r w:rsidRPr="00701D4D">
        <w:rPr>
          <w:rFonts w:ascii="Meiryo UI" w:eastAsia="Meiryo UI" w:hAnsi="Meiryo UI"/>
          <w:spacing w:val="-15"/>
        </w:rPr>
        <w:t>このビジネスモデルが「文化の豊かさ」を阻害することが懸念される理由と、関</w:t>
      </w:r>
      <w:r w:rsidRPr="00701D4D">
        <w:rPr>
          <w:rFonts w:ascii="Meiryo UI" w:eastAsia="Meiryo UI" w:hAnsi="Meiryo UI"/>
          <w:spacing w:val="-11"/>
        </w:rPr>
        <w:t>係する要素</w:t>
      </w:r>
      <w:r w:rsidRPr="00701D4D">
        <w:rPr>
          <w:rFonts w:ascii="Meiryo UI" w:eastAsia="Meiryo UI" w:hAnsi="Meiryo UI"/>
          <w:spacing w:val="-5"/>
        </w:rPr>
        <w:t>（</w:t>
      </w:r>
      <w:r w:rsidRPr="00701D4D">
        <w:rPr>
          <w:rFonts w:ascii="Meiryo UI" w:eastAsia="Meiryo UI" w:hAnsi="Meiryo UI"/>
          <w:spacing w:val="-13"/>
        </w:rPr>
        <w:t>例：多様性、経済性、継承性等</w:t>
      </w:r>
      <w:r w:rsidRPr="00701D4D">
        <w:rPr>
          <w:rFonts w:ascii="Meiryo UI" w:eastAsia="Meiryo UI" w:hAnsi="Meiryo UI"/>
          <w:spacing w:val="-21"/>
        </w:rPr>
        <w:t>）</w:t>
      </w:r>
      <w:r w:rsidRPr="00701D4D">
        <w:rPr>
          <w:rFonts w:ascii="Meiryo UI" w:eastAsia="Meiryo UI" w:hAnsi="Meiryo UI"/>
          <w:spacing w:val="-16"/>
        </w:rPr>
        <w:t>について書きだしてみましょう。</w:t>
      </w:r>
    </w:p>
    <w:p w:rsidR="004E5F65" w:rsidRPr="00701D4D" w:rsidRDefault="00701D4D">
      <w:pPr>
        <w:pStyle w:val="a3"/>
        <w:spacing w:before="272" w:after="34" w:line="208" w:lineRule="auto"/>
        <w:ind w:left="1151" w:right="1353" w:hanging="340"/>
        <w:rPr>
          <w:rFonts w:ascii="Meiryo UI" w:eastAsia="Meiryo UI" w:hAnsi="Meiryo UI"/>
        </w:rPr>
      </w:pPr>
      <w:r w:rsidRPr="00701D4D">
        <w:rPr>
          <w:rFonts w:ascii="Meiryo UI" w:eastAsia="Meiryo UI" w:hAnsi="Meiryo UI"/>
          <w:spacing w:val="-14"/>
        </w:rPr>
        <w:t xml:space="preserve">③ </w:t>
      </w:r>
      <w:r w:rsidRPr="00701D4D">
        <w:rPr>
          <w:rFonts w:ascii="Meiryo UI" w:eastAsia="Meiryo UI" w:hAnsi="Meiryo UI"/>
          <w:spacing w:val="-14"/>
        </w:rPr>
        <w:t>このビジネスモデルを、より「文化の豊かさ」に貢献するモデルにするために、</w:t>
      </w:r>
      <w:r w:rsidRPr="00701D4D">
        <w:rPr>
          <w:rFonts w:ascii="Meiryo UI" w:eastAsia="Meiryo UI" w:hAnsi="Meiryo UI"/>
        </w:rPr>
        <w:t>考えられる改良点・改善点にはどのようなものがありますか？</w:t>
      </w:r>
    </w:p>
    <w:p w:rsidR="004E5F65" w:rsidRPr="00701D4D" w:rsidRDefault="00701D4D">
      <w:pPr>
        <w:pStyle w:val="a3"/>
        <w:ind w:left="812"/>
        <w:rPr>
          <w:rFonts w:ascii="Meiryo UI" w:eastAsia="Meiryo UI" w:hAnsi="Meiryo UI"/>
          <w:sz w:val="20"/>
        </w:rPr>
      </w:pPr>
      <w:r w:rsidRPr="00701D4D">
        <w:rPr>
          <w:rFonts w:ascii="Meiryo UI" w:eastAsia="Meiryo UI" w:hAnsi="Meiryo UI"/>
          <w:sz w:val="20"/>
        </w:rPr>
      </w:r>
      <w:r w:rsidRPr="00701D4D">
        <w:rPr>
          <w:rFonts w:ascii="Meiryo UI" w:eastAsia="Meiryo UI" w:hAnsi="Meiryo UI"/>
          <w:sz w:val="20"/>
        </w:rPr>
        <w:pict>
          <v:shape id="_x0000_s1026" type="#_x0000_t202" style="width:470.3pt;height:148.85pt;mso-left-percent:-10001;mso-top-percent:-10001;mso-position-horizontal:absolute;mso-position-horizontal-relative:char;mso-position-vertical:absolute;mso-position-vertical-relative:line;mso-left-percent:-10001;mso-top-percent:-10001" filled="f" strokeweight=".49989mm">
            <v:textbox inset="0,0,0,0">
              <w:txbxContent>
                <w:p w:rsidR="004E5F65" w:rsidRDefault="00701D4D">
                  <w:pPr>
                    <w:spacing w:before="46" w:line="220" w:lineRule="auto"/>
                    <w:ind w:left="212" w:right="318"/>
                    <w:rPr>
                      <w:rFonts w:ascii="A-OTF 新ゴ Pro L" w:eastAsia="A-OTF 新ゴ Pro L"/>
                    </w:rPr>
                  </w:pPr>
                  <w:r>
                    <w:rPr>
                      <w:rFonts w:ascii="A-OTF 新ゴ Pro L" w:eastAsia="A-OTF 新ゴ Pro L" w:hint="eastAsia"/>
                      <w:color w:val="595757"/>
                    </w:rPr>
                    <w:t>例</w:t>
                  </w:r>
                  <w:r>
                    <w:rPr>
                      <w:rFonts w:ascii="A-OTF 新ゴ Pro L" w:eastAsia="A-OTF 新ゴ Pro L" w:hint="eastAsia"/>
                      <w:color w:val="595757"/>
                      <w:spacing w:val="-114"/>
                    </w:rPr>
                    <w:t>）</w:t>
                  </w:r>
                  <w:r>
                    <w:rPr>
                      <w:rFonts w:ascii="A-OTF 新ゴ Pro L" w:eastAsia="A-OTF 新ゴ Pro L" w:hint="eastAsia"/>
                      <w:color w:val="595757"/>
                    </w:rPr>
                    <w:t>広告の内容とクリエイターの表現内容それぞれがマッチするよう</w:t>
                  </w:r>
                  <w:r>
                    <w:rPr>
                      <w:rFonts w:ascii="A-OTF 新ゴ Pro L" w:eastAsia="A-OTF 新ゴ Pro L" w:hint="eastAsia"/>
                      <w:color w:val="595757"/>
                    </w:rPr>
                    <w:t>な機能をしく</w:t>
                  </w:r>
                  <w:r>
                    <w:rPr>
                      <w:rFonts w:ascii="A-OTF 新ゴ Pro L" w:eastAsia="A-OTF 新ゴ Pro L" w:hint="eastAsia"/>
                      <w:color w:val="595757"/>
                      <w:spacing w:val="-114"/>
                    </w:rPr>
                    <w:t>み</w:t>
                  </w:r>
                  <w:r>
                    <w:rPr>
                      <w:rFonts w:ascii="A-OTF 新ゴ Pro L" w:eastAsia="A-OTF 新ゴ Pro L" w:hint="eastAsia"/>
                      <w:color w:val="595757"/>
                    </w:rPr>
                    <w:t>（＝</w:t>
                  </w:r>
                  <w:r>
                    <w:rPr>
                      <w:rFonts w:ascii="A-OTF 新ゴ Pro L" w:eastAsia="A-OTF 新ゴ Pro L" w:hint="eastAsia"/>
                      <w:color w:val="595757"/>
                      <w:spacing w:val="1"/>
                    </w:rPr>
                    <w:t xml:space="preserve"> </w:t>
                  </w:r>
                  <w:r>
                    <w:rPr>
                      <w:rFonts w:ascii="A-OTF 新ゴ Pro L" w:eastAsia="A-OTF 新ゴ Pro L" w:hint="eastAsia"/>
                      <w:color w:val="595757"/>
                    </w:rPr>
                    <w:t>サービスプラットフォーム上）に搭載し、多様性の面を改良する。（広告モデル）</w:t>
                  </w:r>
                </w:p>
              </w:txbxContent>
            </v:textbox>
            <w10:wrap type="none"/>
            <w10:anchorlock/>
          </v:shape>
        </w:pict>
      </w:r>
    </w:p>
    <w:p w:rsidR="004E5F65" w:rsidRPr="00701D4D" w:rsidRDefault="004E5F65">
      <w:pPr>
        <w:pStyle w:val="a3"/>
        <w:spacing w:before="2"/>
        <w:rPr>
          <w:rFonts w:ascii="Meiryo UI" w:eastAsia="Meiryo UI" w:hAnsi="Meiryo UI"/>
          <w:sz w:val="7"/>
        </w:rPr>
      </w:pPr>
    </w:p>
    <w:p w:rsidR="00701D4D" w:rsidRDefault="00701D4D">
      <w:pPr>
        <w:tabs>
          <w:tab w:val="right" w:pos="10745"/>
        </w:tabs>
        <w:spacing w:before="64"/>
        <w:ind w:left="430"/>
        <w:rPr>
          <w:rFonts w:ascii="Meiryo UI" w:eastAsia="Meiryo UI" w:hAnsi="Meiryo UI"/>
          <w:color w:val="1F1E1D"/>
          <w:sz w:val="17"/>
        </w:rPr>
      </w:pPr>
    </w:p>
    <w:p w:rsidR="004E5F65" w:rsidRPr="00701D4D" w:rsidRDefault="00701D4D">
      <w:pPr>
        <w:tabs>
          <w:tab w:val="right" w:pos="10745"/>
        </w:tabs>
        <w:spacing w:before="64"/>
        <w:ind w:left="430"/>
        <w:rPr>
          <w:rFonts w:ascii="Meiryo UI" w:eastAsia="Meiryo UI" w:hAnsi="Meiryo UI"/>
        </w:rPr>
      </w:pPr>
      <w:bookmarkStart w:id="0" w:name="_GoBack"/>
      <w:bookmarkEnd w:id="0"/>
      <w:r w:rsidRPr="00701D4D">
        <w:rPr>
          <w:rFonts w:ascii="Meiryo UI" w:eastAsia="Meiryo UI" w:hAnsi="Meiryo UI" w:hint="eastAsia"/>
          <w:color w:val="1F1E1D"/>
          <w:sz w:val="17"/>
        </w:rPr>
        <w:t>デジタル時代の著作権を考える</w:t>
      </w:r>
      <w:r w:rsidRPr="00701D4D">
        <w:rPr>
          <w:rFonts w:ascii="Meiryo UI" w:eastAsia="Meiryo UI" w:hAnsi="Meiryo UI" w:hint="eastAsia"/>
          <w:color w:val="1F1E1D"/>
          <w:sz w:val="17"/>
        </w:rPr>
        <w:t xml:space="preserve"> - </w:t>
      </w:r>
      <w:r w:rsidRPr="00701D4D">
        <w:rPr>
          <w:rFonts w:ascii="Meiryo UI" w:eastAsia="Meiryo UI" w:hAnsi="Meiryo UI" w:hint="eastAsia"/>
          <w:color w:val="1F1E1D"/>
          <w:sz w:val="17"/>
        </w:rPr>
        <w:t>豊かな文化を支える制度とは</w:t>
      </w:r>
      <w:r w:rsidRPr="00701D4D">
        <w:rPr>
          <w:rFonts w:ascii="Meiryo UI" w:eastAsia="Meiryo UI" w:hAnsi="Meiryo UI"/>
          <w:color w:val="1F1E1D"/>
          <w:sz w:val="17"/>
        </w:rPr>
        <w:tab/>
      </w:r>
      <w:r w:rsidRPr="00701D4D">
        <w:rPr>
          <w:rFonts w:ascii="Meiryo UI" w:eastAsia="Meiryo UI" w:hAnsi="Meiryo UI"/>
        </w:rPr>
        <w:t>1</w:t>
      </w:r>
    </w:p>
    <w:sectPr w:rsidR="004E5F65" w:rsidRPr="00701D4D">
      <w:type w:val="continuous"/>
      <w:pgSz w:w="11910" w:h="16840"/>
      <w:pgMar w:top="220" w:right="1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o R">
    <w:altName w:val="A-OTF 新ゴ Pro R"/>
    <w:panose1 w:val="020B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-OTF 新ゴ Pro L">
    <w:altName w:val="A-OTF 新ゴ Pro L"/>
    <w:panose1 w:val="020B03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E5F65"/>
    <w:rsid w:val="004E5F65"/>
    <w:rsid w:val="0070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52CBA8B8"/>
  <w15:docId w15:val="{26D4CCB7-62DA-4B38-9903-8B0189BB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-OTF 新ゴ Pro R" w:eastAsia="A-OTF 新ゴ Pro R" w:hAnsi="A-OTF 新ゴ Pro R" w:cs="A-OTF 新ゴ Pro 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458" w:lineRule="exact"/>
      <w:ind w:left="770"/>
    </w:pPr>
    <w:rPr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国際大学GLOCOM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nkobayashi</cp:lastModifiedBy>
  <cp:revision>2</cp:revision>
  <dcterms:created xsi:type="dcterms:W3CDTF">2021-02-28T09:43:00Z</dcterms:created>
  <dcterms:modified xsi:type="dcterms:W3CDTF">2021-02-28T09:43:00Z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2021-02-28T00:00:00Z</vt:filetime>
  </property>
</Properties>
</file>